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69046" w14:textId="77777777" w:rsidR="00AA3399" w:rsidRDefault="001778C4">
      <w:r>
        <w:rPr>
          <w:noProof/>
        </w:rPr>
        <w:drawing>
          <wp:anchor distT="0" distB="0" distL="114300" distR="114300" simplePos="0" relativeHeight="251655168" behindDoc="0" locked="0" layoutInCell="1" allowOverlap="1" wp14:anchorId="48888599" wp14:editId="387A23F6">
            <wp:simplePos x="0" y="0"/>
            <wp:positionH relativeFrom="column">
              <wp:posOffset>1143000</wp:posOffset>
            </wp:positionH>
            <wp:positionV relativeFrom="paragraph">
              <wp:posOffset>47625</wp:posOffset>
            </wp:positionV>
            <wp:extent cx="628650" cy="809625"/>
            <wp:effectExtent l="19050" t="0" r="0" b="0"/>
            <wp:wrapSquare wrapText="bothSides"/>
            <wp:docPr id="2" name="Picture 2" descr="rh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h_grb"/>
                    <pic:cNvPicPr>
                      <a:picLocks noChangeAspect="1" noChangeArrowheads="1"/>
                    </pic:cNvPicPr>
                  </pic:nvPicPr>
                  <pic:blipFill>
                    <a:blip r:embed="rId5" cstate="print"/>
                    <a:srcRect/>
                    <a:stretch>
                      <a:fillRect/>
                    </a:stretch>
                  </pic:blipFill>
                  <pic:spPr bwMode="auto">
                    <a:xfrm>
                      <a:off x="0" y="0"/>
                      <a:ext cx="628650" cy="809625"/>
                    </a:xfrm>
                    <a:prstGeom prst="rect">
                      <a:avLst/>
                    </a:prstGeom>
                    <a:noFill/>
                    <a:ln w="9525">
                      <a:noFill/>
                      <a:miter lim="800000"/>
                      <a:headEnd/>
                      <a:tailEnd/>
                    </a:ln>
                  </pic:spPr>
                </pic:pic>
              </a:graphicData>
            </a:graphic>
          </wp:anchor>
        </w:drawing>
      </w:r>
      <w:r w:rsidR="0077430F">
        <w:t xml:space="preserve">  </w:t>
      </w:r>
    </w:p>
    <w:p w14:paraId="5049949C" w14:textId="77777777" w:rsidR="00AA3399" w:rsidRDefault="00AA3399"/>
    <w:p w14:paraId="31D713F1" w14:textId="77777777" w:rsidR="00AA3399" w:rsidRDefault="0077430F">
      <w:r>
        <w:t xml:space="preserve">       </w:t>
      </w:r>
    </w:p>
    <w:p w14:paraId="2324D447" w14:textId="77777777" w:rsidR="00AA3399" w:rsidRDefault="00AA3399"/>
    <w:p w14:paraId="56F06575" w14:textId="77777777" w:rsidR="00712DD5" w:rsidRDefault="00712DD5" w:rsidP="0077430F">
      <w:pPr>
        <w:rPr>
          <w:b/>
        </w:rPr>
      </w:pPr>
    </w:p>
    <w:p w14:paraId="5F712626" w14:textId="77777777" w:rsidR="00AA3399" w:rsidRPr="00712DD5" w:rsidRDefault="0077430F" w:rsidP="0077430F">
      <w:pPr>
        <w:rPr>
          <w:b/>
        </w:rPr>
      </w:pPr>
      <w:r>
        <w:rPr>
          <w:b/>
        </w:rPr>
        <w:t xml:space="preserve">               </w:t>
      </w:r>
      <w:r w:rsidR="009224D4" w:rsidRPr="00712DD5">
        <w:rPr>
          <w:b/>
        </w:rPr>
        <w:t>REPUBLIKA HRVATSKA</w:t>
      </w:r>
    </w:p>
    <w:p w14:paraId="12D1682F" w14:textId="77777777" w:rsidR="00AA3399" w:rsidRPr="00712DD5" w:rsidRDefault="009224D4" w:rsidP="0077430F">
      <w:pPr>
        <w:rPr>
          <w:b/>
        </w:rPr>
      </w:pPr>
      <w:r w:rsidRPr="00712DD5">
        <w:rPr>
          <w:b/>
        </w:rPr>
        <w:t>DUBROVAČKO-NERETVANSKA ŽUPANIJA</w:t>
      </w:r>
    </w:p>
    <w:p w14:paraId="06968787" w14:textId="77777777" w:rsidR="00AA3399" w:rsidRDefault="001778C4" w:rsidP="0077430F">
      <w:pPr>
        <w:rPr>
          <w:rFonts w:ascii="Arial" w:hAnsi="Arial" w:cs="Arial"/>
          <w:b/>
        </w:rPr>
      </w:pPr>
      <w:r>
        <w:rPr>
          <w:noProof/>
        </w:rPr>
        <w:drawing>
          <wp:anchor distT="0" distB="0" distL="114300" distR="114300" simplePos="0" relativeHeight="251656192" behindDoc="0" locked="0" layoutInCell="1" allowOverlap="1" wp14:anchorId="40C264FE" wp14:editId="7CA928D4">
            <wp:simplePos x="0" y="0"/>
            <wp:positionH relativeFrom="column">
              <wp:posOffset>381000</wp:posOffset>
            </wp:positionH>
            <wp:positionV relativeFrom="paragraph">
              <wp:posOffset>59055</wp:posOffset>
            </wp:positionV>
            <wp:extent cx="352425" cy="438150"/>
            <wp:effectExtent l="19050" t="0" r="9525" b="0"/>
            <wp:wrapSquare wrapText="bothSides"/>
            <wp:docPr id="3" name="Picture 3" descr="hr)du-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du-mt"/>
                    <pic:cNvPicPr>
                      <a:picLocks noChangeAspect="1" noChangeArrowheads="1"/>
                    </pic:cNvPicPr>
                  </pic:nvPicPr>
                  <pic:blipFill>
                    <a:blip r:embed="rId6" cstate="print"/>
                    <a:srcRect/>
                    <a:stretch>
                      <a:fillRect/>
                    </a:stretch>
                  </pic:blipFill>
                  <pic:spPr bwMode="auto">
                    <a:xfrm>
                      <a:off x="0" y="0"/>
                      <a:ext cx="352425" cy="438150"/>
                    </a:xfrm>
                    <a:prstGeom prst="rect">
                      <a:avLst/>
                    </a:prstGeom>
                    <a:noFill/>
                    <a:ln w="9525">
                      <a:noFill/>
                      <a:miter lim="800000"/>
                      <a:headEnd/>
                      <a:tailEnd/>
                    </a:ln>
                  </pic:spPr>
                </pic:pic>
              </a:graphicData>
            </a:graphic>
          </wp:anchor>
        </w:drawing>
      </w:r>
    </w:p>
    <w:p w14:paraId="57D9FF36" w14:textId="77777777" w:rsidR="00A45B6E" w:rsidRDefault="0077430F" w:rsidP="00A864CC">
      <w:pPr>
        <w:spacing w:line="276" w:lineRule="auto"/>
        <w:rPr>
          <w:b/>
        </w:rPr>
      </w:pPr>
      <w:r>
        <w:rPr>
          <w:b/>
        </w:rPr>
        <w:t xml:space="preserve">      </w:t>
      </w:r>
      <w:r w:rsidR="009224D4" w:rsidRPr="00A45B6E">
        <w:rPr>
          <w:b/>
        </w:rPr>
        <w:t>GRAD METKOVIĆ</w:t>
      </w:r>
    </w:p>
    <w:p w14:paraId="6120AB28" w14:textId="77777777" w:rsidR="001C5104" w:rsidRDefault="001C5104" w:rsidP="00A864CC">
      <w:pPr>
        <w:spacing w:line="276" w:lineRule="auto"/>
        <w:rPr>
          <w:b/>
        </w:rPr>
      </w:pPr>
    </w:p>
    <w:p w14:paraId="3D5316FE" w14:textId="77777777" w:rsidR="001C5104" w:rsidRPr="005D1767" w:rsidRDefault="001C5104" w:rsidP="001C5104">
      <w:r w:rsidRPr="005D1767">
        <w:t>GRADSKO IZBORNO POVJERENSTVO</w:t>
      </w:r>
    </w:p>
    <w:p w14:paraId="37A5D29C" w14:textId="77777777" w:rsidR="001C5104" w:rsidRDefault="001C5104" w:rsidP="001C5104"/>
    <w:p w14:paraId="6F8D7752" w14:textId="0F75C983" w:rsidR="001C5104" w:rsidRDefault="0073025B" w:rsidP="001C5104">
      <w:r>
        <w:t>KLASA</w:t>
      </w:r>
      <w:r w:rsidR="001C5104">
        <w:t>:</w:t>
      </w:r>
      <w:r w:rsidR="003131C7">
        <w:t>013-01/</w:t>
      </w:r>
      <w:r w:rsidR="0098027A">
        <w:t>23</w:t>
      </w:r>
      <w:r w:rsidR="003131C7">
        <w:t>-01/</w:t>
      </w:r>
      <w:r w:rsidR="00734EBE">
        <w:t>04</w:t>
      </w:r>
    </w:p>
    <w:p w14:paraId="21277E06" w14:textId="77777777" w:rsidR="001C5104" w:rsidRDefault="0073025B" w:rsidP="001C5104">
      <w:r>
        <w:t>URBROJ</w:t>
      </w:r>
      <w:r w:rsidR="001C5104">
        <w:t xml:space="preserve">: </w:t>
      </w:r>
      <w:r w:rsidR="0098027A">
        <w:t>2117-10</w:t>
      </w:r>
      <w:r w:rsidR="001C5104">
        <w:t>-0</w:t>
      </w:r>
      <w:r w:rsidR="0098027A">
        <w:t>4</w:t>
      </w:r>
      <w:r w:rsidR="001C5104">
        <w:t>-</w:t>
      </w:r>
      <w:r w:rsidR="0098027A">
        <w:t>23</w:t>
      </w:r>
      <w:r w:rsidR="001C5104">
        <w:t>-3</w:t>
      </w:r>
    </w:p>
    <w:p w14:paraId="031A8220" w14:textId="6279F472" w:rsidR="001C5104" w:rsidRDefault="001C5104" w:rsidP="001C5104">
      <w:r>
        <w:t xml:space="preserve">Metković, </w:t>
      </w:r>
      <w:r w:rsidR="00B91E9B">
        <w:t>25. rujna</w:t>
      </w:r>
      <w:r w:rsidR="0098027A">
        <w:t xml:space="preserve"> </w:t>
      </w:r>
      <w:r>
        <w:t>20</w:t>
      </w:r>
      <w:r w:rsidR="0098027A">
        <w:t>23</w:t>
      </w:r>
      <w:r>
        <w:t>.</w:t>
      </w:r>
    </w:p>
    <w:p w14:paraId="2AFEC637" w14:textId="77777777" w:rsidR="001C5104" w:rsidRDefault="001C5104" w:rsidP="001C5104">
      <w:pPr>
        <w:pStyle w:val="t-9-8"/>
        <w:jc w:val="both"/>
        <w:rPr>
          <w:color w:val="000000"/>
        </w:rPr>
      </w:pPr>
    </w:p>
    <w:p w14:paraId="0B06F57E" w14:textId="77777777" w:rsidR="001C5104" w:rsidRDefault="001C5104" w:rsidP="001C5104">
      <w:pPr>
        <w:tabs>
          <w:tab w:val="left" w:pos="4536"/>
        </w:tabs>
        <w:rPr>
          <w:rFonts w:eastAsia="Calibri"/>
        </w:rPr>
      </w:pPr>
      <w:r w:rsidRPr="00B8215D">
        <w:t xml:space="preserve">Na temelju </w:t>
      </w:r>
      <w:r>
        <w:t xml:space="preserve">članka </w:t>
      </w:r>
      <w:r>
        <w:rPr>
          <w:rFonts w:eastAsia="Calibri"/>
        </w:rPr>
        <w:t xml:space="preserve"> 31. Odluke o izboru članova vijeća mjesnih odbora na području Grada Metkovića („Neretvanski glasnik“, broj 5/15) Gradsko izborno povjerenstvo propisuje</w:t>
      </w:r>
    </w:p>
    <w:p w14:paraId="25048E29" w14:textId="77777777" w:rsidR="001C5104" w:rsidRDefault="001C5104" w:rsidP="001C5104">
      <w:pPr>
        <w:pStyle w:val="tb-na16"/>
        <w:jc w:val="center"/>
        <w:rPr>
          <w:b/>
          <w:bCs/>
          <w:color w:val="000000"/>
          <w:sz w:val="36"/>
          <w:szCs w:val="36"/>
        </w:rPr>
      </w:pPr>
      <w:r>
        <w:rPr>
          <w:b/>
          <w:bCs/>
          <w:color w:val="000000"/>
          <w:sz w:val="36"/>
          <w:szCs w:val="36"/>
        </w:rPr>
        <w:t xml:space="preserve">OBVEZATNE UPUTE </w:t>
      </w:r>
      <w:r>
        <w:rPr>
          <w:rStyle w:val="bold"/>
          <w:b/>
          <w:bCs/>
          <w:color w:val="000000"/>
          <w:sz w:val="36"/>
          <w:szCs w:val="36"/>
        </w:rPr>
        <w:t xml:space="preserve">MSGM -III </w:t>
      </w:r>
    </w:p>
    <w:p w14:paraId="3ACE74E4" w14:textId="77777777" w:rsidR="001C5104" w:rsidRDefault="001C5104" w:rsidP="001C5104">
      <w:pPr>
        <w:pStyle w:val="t-12-9-fett-s"/>
        <w:jc w:val="center"/>
        <w:rPr>
          <w:b/>
          <w:bCs/>
          <w:color w:val="000000"/>
          <w:sz w:val="28"/>
          <w:szCs w:val="28"/>
        </w:rPr>
      </w:pPr>
      <w:r>
        <w:rPr>
          <w:b/>
          <w:bCs/>
          <w:color w:val="000000"/>
          <w:sz w:val="28"/>
          <w:szCs w:val="28"/>
        </w:rPr>
        <w:t>POSTUPAK KANDIDIRANJA</w:t>
      </w:r>
    </w:p>
    <w:p w14:paraId="1D6718EF" w14:textId="77777777" w:rsidR="001C5104" w:rsidRDefault="001C5104" w:rsidP="001C5104">
      <w:pPr>
        <w:pStyle w:val="t-9-8"/>
        <w:jc w:val="both"/>
        <w:rPr>
          <w:color w:val="000000"/>
        </w:rPr>
      </w:pPr>
      <w:r>
        <w:rPr>
          <w:color w:val="000000"/>
        </w:rPr>
        <w:t>1. Ovlašteni predlagatelji kandidacijskih lista su političke stranke i birači.</w:t>
      </w:r>
    </w:p>
    <w:p w14:paraId="173454F4" w14:textId="77777777" w:rsidR="001C5104" w:rsidRDefault="001C5104" w:rsidP="001C5104">
      <w:pPr>
        <w:pStyle w:val="t-10-9-kurz-s"/>
        <w:jc w:val="center"/>
        <w:rPr>
          <w:i/>
          <w:iCs/>
          <w:color w:val="000000"/>
          <w:sz w:val="26"/>
          <w:szCs w:val="26"/>
        </w:rPr>
      </w:pPr>
      <w:r>
        <w:rPr>
          <w:i/>
          <w:iCs/>
          <w:color w:val="000000"/>
          <w:sz w:val="26"/>
          <w:szCs w:val="26"/>
        </w:rPr>
        <w:t>Predlaganje kandidacijskih lista političkih stranaka</w:t>
      </w:r>
    </w:p>
    <w:p w14:paraId="4DABDD19" w14:textId="77777777" w:rsidR="001C5104" w:rsidRDefault="001C5104" w:rsidP="001C5104">
      <w:pPr>
        <w:pStyle w:val="t-9-8"/>
        <w:jc w:val="both"/>
        <w:rPr>
          <w:color w:val="000000"/>
        </w:rPr>
      </w:pPr>
      <w:r>
        <w:rPr>
          <w:color w:val="000000"/>
        </w:rPr>
        <w:t>2. Pravo predlaganja kandidacijskih lista imaju sve političke stranke registrirane u Republici Hrvatskoj na dan stupanja na snagu Odluke o raspisivanju izbora za članove vijeća mjesnih odbora na području Grada Metkovića (</w:t>
      </w:r>
      <w:r w:rsidRPr="006F6231">
        <w:rPr>
          <w:b/>
          <w:color w:val="000000"/>
        </w:rPr>
        <w:t>obrazac OMSGM-1</w:t>
      </w:r>
      <w:r>
        <w:rPr>
          <w:color w:val="000000"/>
        </w:rPr>
        <w:t>).</w:t>
      </w:r>
    </w:p>
    <w:p w14:paraId="554DD45C" w14:textId="77777777" w:rsidR="001C5104" w:rsidRDefault="001C5104" w:rsidP="001C5104">
      <w:pPr>
        <w:pStyle w:val="t-9-8"/>
        <w:jc w:val="both"/>
        <w:rPr>
          <w:color w:val="000000"/>
        </w:rPr>
      </w:pPr>
      <w:r>
        <w:rPr>
          <w:color w:val="000000"/>
        </w:rPr>
        <w:t>Kandidacijsku listu može predložiti jedna politička stanka te dvije ili više političkih stranaka.</w:t>
      </w:r>
    </w:p>
    <w:p w14:paraId="25D8A3D1" w14:textId="77777777" w:rsidR="001C5104" w:rsidRDefault="001C5104" w:rsidP="001C5104">
      <w:pPr>
        <w:pStyle w:val="t-9-8"/>
        <w:jc w:val="both"/>
        <w:rPr>
          <w:color w:val="000000"/>
        </w:rPr>
      </w:pPr>
      <w:r>
        <w:rPr>
          <w:color w:val="000000"/>
        </w:rPr>
        <w:t>Političke stanke samostalno utvrđuju redoslijed kandidata na kandidacijskim listama na način predviđen statutom političke stranke, odnosno u skladu s posebnim odlukama donesenim na temelju statuta.</w:t>
      </w:r>
    </w:p>
    <w:p w14:paraId="03114CF7" w14:textId="77777777" w:rsidR="001C5104" w:rsidRDefault="001C5104" w:rsidP="001C5104">
      <w:pPr>
        <w:pStyle w:val="t-9-8"/>
        <w:jc w:val="both"/>
        <w:rPr>
          <w:color w:val="000000"/>
        </w:rPr>
      </w:pPr>
      <w:r>
        <w:rPr>
          <w:color w:val="000000"/>
        </w:rPr>
        <w:t>Političke stanke određuju na temelju odredbi svojih statuta ovlaštenog podnositelja kandidacijske liste.</w:t>
      </w:r>
    </w:p>
    <w:p w14:paraId="49C25082" w14:textId="77777777" w:rsidR="001C5104" w:rsidRDefault="001C5104" w:rsidP="001C5104">
      <w:pPr>
        <w:pStyle w:val="t-10-9-kurz-s"/>
        <w:jc w:val="center"/>
        <w:rPr>
          <w:i/>
          <w:iCs/>
          <w:color w:val="000000"/>
          <w:sz w:val="26"/>
          <w:szCs w:val="26"/>
        </w:rPr>
      </w:pPr>
      <w:r>
        <w:rPr>
          <w:i/>
          <w:iCs/>
          <w:color w:val="000000"/>
          <w:sz w:val="26"/>
          <w:szCs w:val="26"/>
        </w:rPr>
        <w:t>Predlaganje kandidacijskih lista birača</w:t>
      </w:r>
    </w:p>
    <w:p w14:paraId="3E976E96" w14:textId="77777777" w:rsidR="001C5104" w:rsidRDefault="001C5104" w:rsidP="001C5104">
      <w:pPr>
        <w:pStyle w:val="t-9-8"/>
        <w:jc w:val="both"/>
        <w:rPr>
          <w:color w:val="000000"/>
        </w:rPr>
      </w:pPr>
      <w:r>
        <w:rPr>
          <w:color w:val="000000"/>
        </w:rPr>
        <w:t>3. Pravo predlaganja kandidacijskih lista imaju i birači (</w:t>
      </w:r>
      <w:r w:rsidRPr="006F6231">
        <w:rPr>
          <w:b/>
          <w:color w:val="000000"/>
        </w:rPr>
        <w:t>obrazac OMSGM-2</w:t>
      </w:r>
      <w:r>
        <w:rPr>
          <w:color w:val="000000"/>
        </w:rPr>
        <w:t>).</w:t>
      </w:r>
    </w:p>
    <w:p w14:paraId="527A356D" w14:textId="77777777" w:rsidR="001C5104" w:rsidRDefault="001C5104" w:rsidP="001C5104">
      <w:pPr>
        <w:tabs>
          <w:tab w:val="left" w:pos="709"/>
        </w:tabs>
        <w:autoSpaceDE w:val="0"/>
        <w:autoSpaceDN w:val="0"/>
        <w:adjustRightInd w:val="0"/>
        <w:jc w:val="both"/>
      </w:pPr>
      <w:r w:rsidRPr="00B8215D">
        <w:t>Kada birači kao ovlašteni predlagatelji predlažu kandidacijsku listu grupe birača, za pravovaljanost prijedloga kandidacijske liste za izbor članova vijeća dužni su prikupiti najmanje</w:t>
      </w:r>
      <w:r>
        <w:t>:</w:t>
      </w:r>
    </w:p>
    <w:p w14:paraId="356074A2" w14:textId="77777777" w:rsidR="001C5104" w:rsidRDefault="001C5104" w:rsidP="001C5104">
      <w:pPr>
        <w:tabs>
          <w:tab w:val="left" w:pos="709"/>
        </w:tabs>
        <w:autoSpaceDE w:val="0"/>
        <w:autoSpaceDN w:val="0"/>
        <w:adjustRightInd w:val="0"/>
        <w:jc w:val="both"/>
      </w:pPr>
      <w:r w:rsidRPr="00304793">
        <w:t xml:space="preserve"> </w:t>
      </w:r>
      <w:r>
        <w:t xml:space="preserve">           - </w:t>
      </w:r>
      <w:r w:rsidRPr="00304793">
        <w:t xml:space="preserve">15 potpisa birača </w:t>
      </w:r>
      <w:r>
        <w:t>u mjesnom odboru do 200 stanovnika,</w:t>
      </w:r>
    </w:p>
    <w:p w14:paraId="5067431E" w14:textId="77777777" w:rsidR="001C5104" w:rsidRPr="00304793" w:rsidRDefault="001C5104" w:rsidP="001C5104">
      <w:pPr>
        <w:tabs>
          <w:tab w:val="left" w:pos="709"/>
        </w:tabs>
        <w:autoSpaceDE w:val="0"/>
        <w:autoSpaceDN w:val="0"/>
        <w:adjustRightInd w:val="0"/>
        <w:jc w:val="both"/>
      </w:pPr>
      <w:r>
        <w:t xml:space="preserve">            - 30 potpisa birača u mjesnom odboru s više od 200 stanovnika.</w:t>
      </w:r>
    </w:p>
    <w:p w14:paraId="2486AEB1" w14:textId="77777777" w:rsidR="001C5104" w:rsidRDefault="001C5104" w:rsidP="001C5104">
      <w:pPr>
        <w:pStyle w:val="t-9-8"/>
        <w:jc w:val="both"/>
        <w:rPr>
          <w:color w:val="000000"/>
        </w:rPr>
      </w:pPr>
    </w:p>
    <w:p w14:paraId="5DE87924" w14:textId="77777777" w:rsidR="001C5104" w:rsidRDefault="001C5104" w:rsidP="001C5104">
      <w:pPr>
        <w:pStyle w:val="t-9-8"/>
        <w:jc w:val="both"/>
        <w:rPr>
          <w:color w:val="000000"/>
        </w:rPr>
      </w:pPr>
      <w:r>
        <w:rPr>
          <w:color w:val="000000"/>
        </w:rPr>
        <w:t>Podnositelji kandidacijske liste grupe birača su prva tri po redu potpisnika kandidacijske liste.</w:t>
      </w:r>
    </w:p>
    <w:p w14:paraId="3A7C46CD" w14:textId="77777777" w:rsidR="001C5104" w:rsidRDefault="001C5104" w:rsidP="001C5104">
      <w:pPr>
        <w:pStyle w:val="t-9-8"/>
        <w:jc w:val="both"/>
        <w:rPr>
          <w:color w:val="000000"/>
        </w:rPr>
      </w:pPr>
      <w:r>
        <w:rPr>
          <w:color w:val="000000"/>
        </w:rPr>
        <w:lastRenderedPageBreak/>
        <w:t>Potpisi birača prikupljaju se na propisanom obrascu (</w:t>
      </w:r>
      <w:r w:rsidRPr="006F6231">
        <w:rPr>
          <w:b/>
          <w:color w:val="000000"/>
        </w:rPr>
        <w:t>obrazac OMSGM-3</w:t>
      </w:r>
      <w:r>
        <w:rPr>
          <w:color w:val="000000"/>
        </w:rPr>
        <w:t xml:space="preserve">) u koji se unose: </w:t>
      </w:r>
      <w:r w:rsidRPr="00B8215D">
        <w:t>ime i prezime birača, njegovo prebivalište, broj važeće osobne iskaznice birača i mjesto njezina izdavanja te potpis birača</w:t>
      </w:r>
      <w:r>
        <w:t>.</w:t>
      </w:r>
      <w:r>
        <w:rPr>
          <w:color w:val="000000"/>
        </w:rPr>
        <w:t xml:space="preserve"> </w:t>
      </w:r>
    </w:p>
    <w:p w14:paraId="4CB4EF74" w14:textId="77777777" w:rsidR="001C5104" w:rsidRDefault="001C5104" w:rsidP="001C5104">
      <w:pPr>
        <w:pStyle w:val="t-10-9-kurz-s"/>
        <w:jc w:val="center"/>
        <w:rPr>
          <w:i/>
          <w:iCs/>
          <w:color w:val="000000"/>
          <w:sz w:val="26"/>
          <w:szCs w:val="26"/>
        </w:rPr>
      </w:pPr>
      <w:r>
        <w:rPr>
          <w:i/>
          <w:iCs/>
          <w:color w:val="000000"/>
          <w:sz w:val="26"/>
          <w:szCs w:val="26"/>
        </w:rPr>
        <w:t xml:space="preserve">Sadržaj kandidacijske liste </w:t>
      </w:r>
    </w:p>
    <w:p w14:paraId="54530BD5" w14:textId="77777777" w:rsidR="001C5104" w:rsidRDefault="001C5104" w:rsidP="001C5104">
      <w:pPr>
        <w:pStyle w:val="t-9-8"/>
        <w:jc w:val="both"/>
        <w:rPr>
          <w:color w:val="000000"/>
        </w:rPr>
      </w:pPr>
      <w:r>
        <w:rPr>
          <w:color w:val="000000"/>
        </w:rPr>
        <w:t>4. U prijedlogu kandidacijske liste obvezatno se navodi naziv kandidacijske liste i nositelj liste, a kandidati moraju biti na listi poredani od rednog broja 1 zaključno do rednog broja koliko ih se bira.</w:t>
      </w:r>
    </w:p>
    <w:p w14:paraId="10F9CA4A" w14:textId="77777777" w:rsidR="001C5104" w:rsidRDefault="001C5104" w:rsidP="001C5104">
      <w:pPr>
        <w:pStyle w:val="t-9-8"/>
        <w:jc w:val="both"/>
        <w:rPr>
          <w:color w:val="000000"/>
        </w:rPr>
      </w:pPr>
      <w:r>
        <w:rPr>
          <w:color w:val="000000"/>
        </w:rPr>
        <w:t xml:space="preserve">Ako predlagatelj predloži više kandidata od utvrđenog broja članova vijeća koji se bira na izborima, smatra se da su pravovaljano predloženi samo kandidati zaključno do broja koji se biraju u vijeće. </w:t>
      </w:r>
    </w:p>
    <w:p w14:paraId="59D23F8A" w14:textId="77777777" w:rsidR="001C5104" w:rsidRDefault="001C5104" w:rsidP="001C5104">
      <w:pPr>
        <w:pStyle w:val="t-9-8"/>
        <w:jc w:val="both"/>
        <w:rPr>
          <w:color w:val="000000"/>
        </w:rPr>
      </w:pPr>
      <w:r>
        <w:rPr>
          <w:color w:val="000000"/>
        </w:rPr>
        <w:t>Ako predlagatelj predloži manje kandidata od utvrđenog broja članova vijeća koji se bira na izborima, kandidacijska lista nije pravovaljana.</w:t>
      </w:r>
    </w:p>
    <w:p w14:paraId="71DC75FC" w14:textId="77777777" w:rsidR="001C5104" w:rsidRDefault="001C5104" w:rsidP="001C5104">
      <w:pPr>
        <w:pStyle w:val="t-9-8"/>
        <w:jc w:val="both"/>
        <w:rPr>
          <w:color w:val="000000"/>
        </w:rPr>
      </w:pPr>
      <w:r>
        <w:rPr>
          <w:color w:val="000000"/>
        </w:rPr>
        <w:t>Naziv kandidacijske liste je puni naziv političke stranke, dviju ili više političkih stranaka koja je odnosno koje su predložile kandidacijsku listu.</w:t>
      </w:r>
    </w:p>
    <w:p w14:paraId="31A7311F" w14:textId="77777777" w:rsidR="001C5104" w:rsidRPr="00B8215D" w:rsidRDefault="001C5104" w:rsidP="001C5104">
      <w:pPr>
        <w:tabs>
          <w:tab w:val="left" w:pos="851"/>
        </w:tabs>
        <w:autoSpaceDE w:val="0"/>
        <w:autoSpaceDN w:val="0"/>
        <w:adjustRightInd w:val="0"/>
        <w:jc w:val="both"/>
      </w:pPr>
      <w:r>
        <w:rPr>
          <w:color w:val="000000"/>
        </w:rPr>
        <w:t>Ako su političke stranke registrirale skraćeni naziv stranke odnosno stranaka u nazivu se mogu koristiti kratice.</w:t>
      </w:r>
      <w:r w:rsidRPr="00D0390F">
        <w:t xml:space="preserve"> </w:t>
      </w:r>
      <w:r w:rsidRPr="00B8215D">
        <w:t xml:space="preserve">Ako su kandidacijsku listu predložili birači, njezin naziv je "Kandidacijska lista grupe birača Mjesnog odbora ________________". </w:t>
      </w:r>
    </w:p>
    <w:p w14:paraId="76142D61" w14:textId="77777777" w:rsidR="001C5104" w:rsidRDefault="001C5104" w:rsidP="001C5104">
      <w:pPr>
        <w:pStyle w:val="t-9-8"/>
        <w:jc w:val="both"/>
        <w:rPr>
          <w:color w:val="000000"/>
        </w:rPr>
      </w:pPr>
      <w:r>
        <w:rPr>
          <w:color w:val="000000"/>
        </w:rPr>
        <w:t>Nositelj kandidacijske liste prvi je predloženi kandidat na listi.</w:t>
      </w:r>
    </w:p>
    <w:p w14:paraId="7F1DC823" w14:textId="77777777" w:rsidR="001C5104" w:rsidRDefault="001C5104" w:rsidP="001C5104">
      <w:pPr>
        <w:pStyle w:val="t-9-8"/>
        <w:jc w:val="both"/>
        <w:rPr>
          <w:color w:val="000000"/>
        </w:rPr>
      </w:pPr>
      <w:r>
        <w:rPr>
          <w:color w:val="000000"/>
        </w:rPr>
        <w:t>5. Za svakog kandidata u prijedlogu kandidacijske liste obvezatno se navodi ime i prezime kandidata, nacionalnost, prebivalište, datum rođenja, osobni identifikacijski broj(OIB) i spol.</w:t>
      </w:r>
    </w:p>
    <w:p w14:paraId="37358B20" w14:textId="4BA61FDE" w:rsidR="00DE177C" w:rsidRDefault="00DE177C" w:rsidP="001C02B0">
      <w:pPr>
        <w:pStyle w:val="box467363"/>
        <w:shd w:val="clear" w:color="auto" w:fill="FFFFFF"/>
        <w:spacing w:before="0" w:beforeAutospacing="0" w:after="48" w:afterAutospacing="0"/>
        <w:jc w:val="both"/>
        <w:textAlignment w:val="baseline"/>
        <w:rPr>
          <w:color w:val="231F20"/>
        </w:rPr>
      </w:pPr>
      <w:r>
        <w:rPr>
          <w:color w:val="231F20"/>
        </w:rPr>
        <w:t>U prijedlogu kandidacijske liste navode se podaci o osobi za kontakt u svezi s prijedlogom kandidacijske liste. Osoba za kontakt u svezi s prijedlogom kandidacijske liste je osoba ovlaštena za ispravke na prijedlogu kandidacijske liste prilikom zaprimanja prijedloga kandidacijske liste odnosno osoba koju nadležno izborno povjerenstvo može zatražiti dodatne podatke odnosno ispravke nakon zaprimanja prijedloga kandidacijske liste. Podaci odnosno ispravci dostavljeni odnosno izvršeni od strane osobe za kontakt u svezi s prijedlogom kandidacijske liste smatraju se pravovaljanim.</w:t>
      </w:r>
    </w:p>
    <w:p w14:paraId="1C27218B" w14:textId="63E5A2B0" w:rsidR="00DE177C" w:rsidRDefault="00DE177C" w:rsidP="001C02B0">
      <w:pPr>
        <w:pStyle w:val="box467363"/>
        <w:shd w:val="clear" w:color="auto" w:fill="FFFFFF"/>
        <w:spacing w:before="0" w:beforeAutospacing="0" w:after="48" w:afterAutospacing="0"/>
        <w:jc w:val="both"/>
        <w:textAlignment w:val="baseline"/>
        <w:rPr>
          <w:color w:val="231F20"/>
        </w:rPr>
      </w:pPr>
      <w:r>
        <w:rPr>
          <w:color w:val="231F20"/>
        </w:rPr>
        <w:t xml:space="preserve">U prijedlogu kandidacijske liste navodi se adresa elektroničke pošte predlagatelja kandidacijske liste te izjava predlagatelja kandidacijske liste da će se tim putem službeno dostavljeni dopisi, odluke i ostali akti </w:t>
      </w:r>
      <w:r w:rsidR="001C02B0">
        <w:rPr>
          <w:color w:val="231F20"/>
        </w:rPr>
        <w:t>Gradsko</w:t>
      </w:r>
      <w:r>
        <w:rPr>
          <w:color w:val="231F20"/>
        </w:rPr>
        <w:t>g izbornog povjerenstva, koji se, vezano uz postupak provedbe izbora, upućuju predlagatelju/ima stranačke liste, odnosno nositelju kandidacijske liste grupe birača smatrati uredno dostavljenima.</w:t>
      </w:r>
    </w:p>
    <w:p w14:paraId="3493E81E" w14:textId="77777777" w:rsidR="001C5104" w:rsidRDefault="001C5104" w:rsidP="001C5104">
      <w:pPr>
        <w:pStyle w:val="t-9-8"/>
        <w:jc w:val="both"/>
        <w:rPr>
          <w:color w:val="000000"/>
        </w:rPr>
      </w:pPr>
      <w:r>
        <w:rPr>
          <w:color w:val="000000"/>
        </w:rPr>
        <w:t>Uz prijedlog kandidacijske liste dostavljaju se i očitovanja kandidata o prihvaćanju kandidature (</w:t>
      </w:r>
      <w:r w:rsidRPr="00D0390F">
        <w:rPr>
          <w:rStyle w:val="bold"/>
          <w:bCs/>
          <w:color w:val="000000"/>
        </w:rPr>
        <w:t xml:space="preserve">obrazac </w:t>
      </w:r>
      <w:r>
        <w:rPr>
          <w:rStyle w:val="bold"/>
          <w:bCs/>
          <w:color w:val="000000"/>
        </w:rPr>
        <w:t>OMSGM</w:t>
      </w:r>
      <w:r w:rsidRPr="00D0390F">
        <w:rPr>
          <w:rStyle w:val="bold"/>
          <w:bCs/>
          <w:color w:val="000000"/>
        </w:rPr>
        <w:t>-4</w:t>
      </w:r>
      <w:r>
        <w:rPr>
          <w:color w:val="000000"/>
        </w:rPr>
        <w:t>) ovjerena od javnog bilježnika ili Gradskog izbornog povjerenstva.</w:t>
      </w:r>
    </w:p>
    <w:p w14:paraId="293C950D" w14:textId="77777777" w:rsidR="001C5104" w:rsidRDefault="001C5104" w:rsidP="001C5104">
      <w:pPr>
        <w:pStyle w:val="t-10-9-kurz-s"/>
        <w:jc w:val="center"/>
        <w:rPr>
          <w:i/>
          <w:iCs/>
          <w:color w:val="000000"/>
          <w:sz w:val="26"/>
          <w:szCs w:val="26"/>
        </w:rPr>
      </w:pPr>
      <w:r>
        <w:rPr>
          <w:i/>
          <w:iCs/>
          <w:color w:val="000000"/>
          <w:sz w:val="26"/>
          <w:szCs w:val="26"/>
        </w:rPr>
        <w:t>Rok za kandidiranje</w:t>
      </w:r>
    </w:p>
    <w:p w14:paraId="142ED883" w14:textId="77777777" w:rsidR="001C5104" w:rsidRDefault="001C5104" w:rsidP="001C5104">
      <w:pPr>
        <w:pStyle w:val="t-9-8"/>
        <w:jc w:val="both"/>
        <w:rPr>
          <w:color w:val="000000"/>
        </w:rPr>
      </w:pPr>
      <w:r>
        <w:rPr>
          <w:color w:val="000000"/>
        </w:rPr>
        <w:t>6. Kandidacijske liste moraju prispjeti (</w:t>
      </w:r>
      <w:r>
        <w:rPr>
          <w:rStyle w:val="bold"/>
          <w:b/>
          <w:bCs/>
          <w:color w:val="000000"/>
        </w:rPr>
        <w:t>biti zaprimljene u</w:t>
      </w:r>
      <w:r>
        <w:rPr>
          <w:color w:val="000000"/>
        </w:rPr>
        <w:t>) Gradskom izbornom povjerenstvu u roku od</w:t>
      </w:r>
      <w:r>
        <w:rPr>
          <w:rStyle w:val="apple-converted-space"/>
          <w:b/>
          <w:bCs/>
          <w:color w:val="000000"/>
        </w:rPr>
        <w:t> </w:t>
      </w:r>
      <w:r>
        <w:rPr>
          <w:rStyle w:val="bold"/>
          <w:b/>
          <w:bCs/>
          <w:color w:val="000000"/>
        </w:rPr>
        <w:t xml:space="preserve">14 dana od dana stupanja na snagu </w:t>
      </w:r>
      <w:r>
        <w:rPr>
          <w:color w:val="000000"/>
        </w:rPr>
        <w:t>Odluke o raspisivanju izbora za članove vijeća mjesnih odbora na području Grada Metkovića.</w:t>
      </w:r>
    </w:p>
    <w:p w14:paraId="6434C353" w14:textId="77777777" w:rsidR="001C5104" w:rsidRDefault="001C5104" w:rsidP="001C5104">
      <w:pPr>
        <w:pStyle w:val="t-10-9-kurz-s"/>
        <w:jc w:val="center"/>
        <w:rPr>
          <w:i/>
          <w:iCs/>
          <w:color w:val="000000"/>
          <w:sz w:val="26"/>
          <w:szCs w:val="26"/>
        </w:rPr>
      </w:pPr>
      <w:r>
        <w:rPr>
          <w:i/>
          <w:iCs/>
          <w:color w:val="000000"/>
          <w:sz w:val="26"/>
          <w:szCs w:val="26"/>
        </w:rPr>
        <w:t>Odustanak od prihvaćene kandidacijske liste</w:t>
      </w:r>
    </w:p>
    <w:p w14:paraId="573627A9" w14:textId="77777777" w:rsidR="001C5104" w:rsidRDefault="001C5104" w:rsidP="001C5104">
      <w:pPr>
        <w:pStyle w:val="t-9-8"/>
        <w:jc w:val="both"/>
        <w:rPr>
          <w:color w:val="000000"/>
        </w:rPr>
      </w:pPr>
      <w:r>
        <w:rPr>
          <w:color w:val="000000"/>
        </w:rPr>
        <w:t>7. Političke stanke koje su predložile prihvaćene kandidacijske liste mogu na način predviđen statutom ili posebnom odlukom donesenom na temelju statuta odustati od te liste najkasnije 48 sati nakon što je kao prihvaćena bila objavljena od strane Gradskog izbornog povjerenstva.</w:t>
      </w:r>
    </w:p>
    <w:p w14:paraId="539C566F" w14:textId="77777777" w:rsidR="001C5104" w:rsidRDefault="001C5104" w:rsidP="001C5104">
      <w:pPr>
        <w:pStyle w:val="t-9-8"/>
        <w:jc w:val="both"/>
        <w:rPr>
          <w:color w:val="000000"/>
        </w:rPr>
      </w:pPr>
      <w:r>
        <w:rPr>
          <w:color w:val="000000"/>
        </w:rPr>
        <w:lastRenderedPageBreak/>
        <w:t>Za »Kandidacijsku listu grupe birača« odluku o odustajanju donosi nositelj liste.</w:t>
      </w:r>
    </w:p>
    <w:p w14:paraId="2FACCA93" w14:textId="77777777" w:rsidR="001C5104" w:rsidRDefault="001C5104" w:rsidP="001C5104">
      <w:pPr>
        <w:pStyle w:val="t-9-8"/>
        <w:jc w:val="both"/>
        <w:rPr>
          <w:color w:val="000000"/>
        </w:rPr>
      </w:pPr>
      <w:r>
        <w:rPr>
          <w:color w:val="000000"/>
        </w:rPr>
        <w:t>Pisana odluka o odustanku mora prispjeti (</w:t>
      </w:r>
      <w:r>
        <w:rPr>
          <w:rStyle w:val="bold"/>
          <w:b/>
          <w:bCs/>
          <w:color w:val="000000"/>
        </w:rPr>
        <w:t>biti zaprimljena u</w:t>
      </w:r>
      <w:r>
        <w:rPr>
          <w:color w:val="000000"/>
        </w:rPr>
        <w:t>) Gradskom izbornom povjerenstvu najkasnije 48 sati nakon što je lista kao prihvaćena bila objavljena od strane Gradskog izbornog povjerenstva.</w:t>
      </w:r>
    </w:p>
    <w:p w14:paraId="12E4329C" w14:textId="77777777" w:rsidR="001C5104" w:rsidRDefault="001C5104" w:rsidP="001C5104">
      <w:pPr>
        <w:pStyle w:val="t-9-8"/>
        <w:jc w:val="both"/>
        <w:rPr>
          <w:color w:val="000000"/>
        </w:rPr>
      </w:pPr>
      <w:r>
        <w:rPr>
          <w:rStyle w:val="bold"/>
          <w:b/>
          <w:bCs/>
          <w:color w:val="000000"/>
        </w:rPr>
        <w:t>Odustanak jednog ili više kandidata s kandidacijske liste nije dopušten nakon isteka roka za kandidiranje</w:t>
      </w:r>
      <w:r>
        <w:rPr>
          <w:rStyle w:val="apple-converted-space"/>
          <w:color w:val="000000"/>
        </w:rPr>
        <w:t> </w:t>
      </w:r>
      <w:r>
        <w:rPr>
          <w:color w:val="000000"/>
        </w:rPr>
        <w:t>te se neće uvažiti i takva će kandidacijska lista ostati pravovaljanom s imenima svih objavljenih kandidata.</w:t>
      </w:r>
    </w:p>
    <w:p w14:paraId="57764FE8" w14:textId="77777777" w:rsidR="001C5104" w:rsidRDefault="001C5104" w:rsidP="001C5104">
      <w:pPr>
        <w:pStyle w:val="t-10-9-kurz-s"/>
        <w:jc w:val="center"/>
        <w:rPr>
          <w:i/>
          <w:iCs/>
          <w:color w:val="000000"/>
          <w:sz w:val="26"/>
          <w:szCs w:val="26"/>
        </w:rPr>
      </w:pPr>
      <w:r>
        <w:rPr>
          <w:i/>
          <w:iCs/>
          <w:color w:val="000000"/>
          <w:sz w:val="26"/>
          <w:szCs w:val="26"/>
        </w:rPr>
        <w:t>Postupak u slučaju smrti kandidata s kandidacijske liste</w:t>
      </w:r>
    </w:p>
    <w:p w14:paraId="70E44AD3" w14:textId="77777777" w:rsidR="001C5104" w:rsidRDefault="001C5104" w:rsidP="001C5104">
      <w:pPr>
        <w:pStyle w:val="t-9-8"/>
        <w:jc w:val="both"/>
        <w:rPr>
          <w:color w:val="000000"/>
        </w:rPr>
      </w:pPr>
      <w:r>
        <w:rPr>
          <w:color w:val="000000"/>
        </w:rPr>
        <w:t>8. Ako neki od kandidata na kandidacijskoj listi umre u vremenu od dana objave kandidacijske liste politička stranka odnosno dvije ili više političkih stranaka koje su predložile kandidata i podnositelj kandidacijske liste grupe birača, mogu umjesto njega predložiti novog kandidata, bez prikupljanja potpisa, sve do 10 dana prije dana održavanja izbora.</w:t>
      </w:r>
    </w:p>
    <w:p w14:paraId="01176ECD" w14:textId="77777777" w:rsidR="001C5104" w:rsidRDefault="001C5104" w:rsidP="001C5104">
      <w:pPr>
        <w:pStyle w:val="t-9-8"/>
        <w:jc w:val="both"/>
        <w:rPr>
          <w:color w:val="000000"/>
        </w:rPr>
      </w:pPr>
      <w:r>
        <w:rPr>
          <w:color w:val="000000"/>
        </w:rPr>
        <w:t>Kandidat koji je umro brisat će se s kandidacijske liste, a kandidat kojim je dopunjena kandidacijska lista stavlja se na posljednje mjesto na listi. Redoslijed ostalih kandidata na listi navedenih iza kandidata koji je umro pomiče se za jedno mjesto prema gore.</w:t>
      </w:r>
    </w:p>
    <w:p w14:paraId="7B02628B" w14:textId="77777777" w:rsidR="001C5104" w:rsidRDefault="001C5104" w:rsidP="001C5104">
      <w:pPr>
        <w:pStyle w:val="t-9-8"/>
        <w:jc w:val="both"/>
        <w:rPr>
          <w:color w:val="000000"/>
        </w:rPr>
      </w:pPr>
      <w:r>
        <w:rPr>
          <w:color w:val="000000"/>
        </w:rPr>
        <w:t>Ako je kandidat koji je umro nositelj liste, lista će se dopuniti na gore navedeni način, a nositelj liste postat će drugi po redu kandidat naveden na kandidacijskoj listi.</w:t>
      </w:r>
    </w:p>
    <w:p w14:paraId="258B77EB" w14:textId="77777777" w:rsidR="001C5104" w:rsidRDefault="001C5104" w:rsidP="001C5104">
      <w:pPr>
        <w:pStyle w:val="t-9-8"/>
        <w:jc w:val="both"/>
        <w:rPr>
          <w:color w:val="000000"/>
        </w:rPr>
      </w:pPr>
      <w:r>
        <w:rPr>
          <w:color w:val="000000"/>
        </w:rPr>
        <w:t>Kandidacijska lista dopunjena novim kandidatom objavljuje se na oglasnoj ploči i internetskim stranicama Grada Metkovića u roku od 24 sata od izvršene dopune kandidacijske liste.</w:t>
      </w:r>
    </w:p>
    <w:p w14:paraId="72843654" w14:textId="77777777" w:rsidR="001C5104" w:rsidRDefault="001C5104" w:rsidP="001C5104">
      <w:pPr>
        <w:pStyle w:val="t-9-8"/>
        <w:jc w:val="both"/>
        <w:rPr>
          <w:color w:val="000000"/>
        </w:rPr>
      </w:pPr>
      <w:r>
        <w:rPr>
          <w:color w:val="000000"/>
        </w:rPr>
        <w:t>Ako neki od kandidata na kandidacijskoj listi umre u vremenu kraćem od 10 dana prije dana održavanja izbora, kandidacijska lista smatrat će se pravovaljanom.</w:t>
      </w:r>
    </w:p>
    <w:p w14:paraId="55252B0D" w14:textId="43308BE5" w:rsidR="00581191" w:rsidRPr="00581191" w:rsidRDefault="001C5104" w:rsidP="00581191">
      <w:pPr>
        <w:pStyle w:val="Default"/>
        <w:jc w:val="both"/>
        <w:rPr>
          <w:rFonts w:ascii="Times New Roman" w:hAnsi="Times New Roman" w:cs="Times New Roman"/>
        </w:rPr>
      </w:pPr>
      <w:r w:rsidRPr="00581191">
        <w:rPr>
          <w:rFonts w:ascii="Times New Roman" w:hAnsi="Times New Roman" w:cs="Times New Roman"/>
        </w:rPr>
        <w:t>9. Ove Obvezatne upute stupaju na snagu danom donošenja, objavit će se u „Neretvanskom glasniku“- sl</w:t>
      </w:r>
      <w:r w:rsidR="00581191" w:rsidRPr="00581191">
        <w:rPr>
          <w:rFonts w:ascii="Times New Roman" w:hAnsi="Times New Roman" w:cs="Times New Roman"/>
        </w:rPr>
        <w:t>užbenom glasilu Grada Metkovića i na internetskim stranicama Grada Metkovića www.grad-metkovic.hr.</w:t>
      </w:r>
    </w:p>
    <w:p w14:paraId="0DF1795A" w14:textId="77777777" w:rsidR="001C5104" w:rsidRDefault="001C5104" w:rsidP="001C5104">
      <w:pPr>
        <w:spacing w:before="100" w:beforeAutospacing="1" w:after="100" w:afterAutospacing="1"/>
        <w:jc w:val="both"/>
        <w:rPr>
          <w:color w:val="000000"/>
        </w:rPr>
      </w:pPr>
    </w:p>
    <w:p w14:paraId="03C92D31" w14:textId="77777777" w:rsidR="001C5104" w:rsidRDefault="001C5104" w:rsidP="001C5104">
      <w:pPr>
        <w:spacing w:before="100" w:beforeAutospacing="1" w:after="100" w:afterAutospacing="1"/>
        <w:jc w:val="both"/>
        <w:rPr>
          <w:color w:val="000000"/>
        </w:rPr>
      </w:pPr>
    </w:p>
    <w:p w14:paraId="57D76CD1" w14:textId="77777777" w:rsidR="001C5104" w:rsidRDefault="001C5104" w:rsidP="001C5104">
      <w:pPr>
        <w:spacing w:before="100" w:beforeAutospacing="1" w:after="100" w:afterAutospacing="1"/>
        <w:jc w:val="both"/>
        <w:rPr>
          <w:color w:val="000000"/>
        </w:rPr>
      </w:pPr>
      <w:r>
        <w:rPr>
          <w:color w:val="000000"/>
        </w:rPr>
        <w:t xml:space="preserve">                                                                                                           PREDSJEDNIK                                                                                                                                                                                                      </w:t>
      </w:r>
    </w:p>
    <w:p w14:paraId="7E767AB8" w14:textId="77777777" w:rsidR="001C5104" w:rsidRDefault="001C5104" w:rsidP="001C5104">
      <w:pPr>
        <w:pStyle w:val="t-9-8-potpis"/>
        <w:rPr>
          <w:color w:val="000000"/>
        </w:rPr>
      </w:pPr>
      <w:r>
        <w:rPr>
          <w:color w:val="000000"/>
        </w:rPr>
        <w:t xml:space="preserve">                                                                                                Mojimir Vladimir,dipl.</w:t>
      </w:r>
      <w:proofErr w:type="spellStart"/>
      <w:r>
        <w:rPr>
          <w:color w:val="000000"/>
        </w:rPr>
        <w:t>iur</w:t>
      </w:r>
      <w:proofErr w:type="spellEnd"/>
      <w:r>
        <w:rPr>
          <w:color w:val="000000"/>
        </w:rPr>
        <w:t>.,v.r.</w:t>
      </w:r>
    </w:p>
    <w:p w14:paraId="224EDB28" w14:textId="77777777" w:rsidR="001C5104" w:rsidRDefault="001C5104" w:rsidP="001C5104">
      <w:pPr>
        <w:pStyle w:val="t-9-8"/>
        <w:jc w:val="both"/>
        <w:rPr>
          <w:color w:val="000000"/>
        </w:rPr>
      </w:pPr>
    </w:p>
    <w:p w14:paraId="463A602D" w14:textId="77777777" w:rsidR="002672B3" w:rsidRDefault="002672B3" w:rsidP="00A864CC">
      <w:pPr>
        <w:spacing w:line="276" w:lineRule="auto"/>
        <w:rPr>
          <w:b/>
        </w:rPr>
      </w:pPr>
    </w:p>
    <w:sectPr w:rsidR="002672B3" w:rsidSect="00AA7CEF">
      <w:pgSz w:w="11906" w:h="16838"/>
      <w:pgMar w:top="540" w:right="1417"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355A"/>
    <w:multiLevelType w:val="hybridMultilevel"/>
    <w:tmpl w:val="92900390"/>
    <w:lvl w:ilvl="0" w:tplc="CC90244A">
      <w:start w:val="1"/>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1" w15:restartNumberingAfterBreak="0">
    <w:nsid w:val="12260275"/>
    <w:multiLevelType w:val="hybridMultilevel"/>
    <w:tmpl w:val="288E2894"/>
    <w:lvl w:ilvl="0" w:tplc="1D0E1BCE">
      <w:start w:val="1"/>
      <w:numFmt w:val="decimal"/>
      <w:lvlText w:val="%1."/>
      <w:lvlJc w:val="left"/>
      <w:pPr>
        <w:ind w:left="1050" w:hanging="39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2" w15:restartNumberingAfterBreak="0">
    <w:nsid w:val="19602EB6"/>
    <w:multiLevelType w:val="hybridMultilevel"/>
    <w:tmpl w:val="7CFEBE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3B1776"/>
    <w:multiLevelType w:val="hybridMultilevel"/>
    <w:tmpl w:val="6A523454"/>
    <w:lvl w:ilvl="0" w:tplc="4C1EB0F0">
      <w:start w:val="1"/>
      <w:numFmt w:val="decimal"/>
      <w:lvlText w:val="%1."/>
      <w:lvlJc w:val="left"/>
      <w:pPr>
        <w:ind w:left="1125" w:hanging="465"/>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4" w15:restartNumberingAfterBreak="0">
    <w:nsid w:val="47874D90"/>
    <w:multiLevelType w:val="hybridMultilevel"/>
    <w:tmpl w:val="3D08D2B8"/>
    <w:lvl w:ilvl="0" w:tplc="9AE6ECD4">
      <w:start w:val="1"/>
      <w:numFmt w:val="decimal"/>
      <w:lvlText w:val="%1."/>
      <w:lvlJc w:val="left"/>
      <w:pPr>
        <w:tabs>
          <w:tab w:val="num" w:pos="1860"/>
        </w:tabs>
        <w:ind w:left="1860" w:hanging="360"/>
      </w:pPr>
      <w:rPr>
        <w:rFonts w:hint="default"/>
      </w:rPr>
    </w:lvl>
    <w:lvl w:ilvl="1" w:tplc="041A0019" w:tentative="1">
      <w:start w:val="1"/>
      <w:numFmt w:val="lowerLetter"/>
      <w:lvlText w:val="%2."/>
      <w:lvlJc w:val="left"/>
      <w:pPr>
        <w:tabs>
          <w:tab w:val="num" w:pos="2580"/>
        </w:tabs>
        <w:ind w:left="2580" w:hanging="360"/>
      </w:pPr>
    </w:lvl>
    <w:lvl w:ilvl="2" w:tplc="041A001B" w:tentative="1">
      <w:start w:val="1"/>
      <w:numFmt w:val="lowerRoman"/>
      <w:lvlText w:val="%3."/>
      <w:lvlJc w:val="right"/>
      <w:pPr>
        <w:tabs>
          <w:tab w:val="num" w:pos="3300"/>
        </w:tabs>
        <w:ind w:left="3300" w:hanging="180"/>
      </w:pPr>
    </w:lvl>
    <w:lvl w:ilvl="3" w:tplc="041A000F" w:tentative="1">
      <w:start w:val="1"/>
      <w:numFmt w:val="decimal"/>
      <w:lvlText w:val="%4."/>
      <w:lvlJc w:val="left"/>
      <w:pPr>
        <w:tabs>
          <w:tab w:val="num" w:pos="4020"/>
        </w:tabs>
        <w:ind w:left="4020" w:hanging="360"/>
      </w:pPr>
    </w:lvl>
    <w:lvl w:ilvl="4" w:tplc="041A0019" w:tentative="1">
      <w:start w:val="1"/>
      <w:numFmt w:val="lowerLetter"/>
      <w:lvlText w:val="%5."/>
      <w:lvlJc w:val="left"/>
      <w:pPr>
        <w:tabs>
          <w:tab w:val="num" w:pos="4740"/>
        </w:tabs>
        <w:ind w:left="4740" w:hanging="360"/>
      </w:pPr>
    </w:lvl>
    <w:lvl w:ilvl="5" w:tplc="041A001B" w:tentative="1">
      <w:start w:val="1"/>
      <w:numFmt w:val="lowerRoman"/>
      <w:lvlText w:val="%6."/>
      <w:lvlJc w:val="right"/>
      <w:pPr>
        <w:tabs>
          <w:tab w:val="num" w:pos="5460"/>
        </w:tabs>
        <w:ind w:left="5460" w:hanging="180"/>
      </w:pPr>
    </w:lvl>
    <w:lvl w:ilvl="6" w:tplc="041A000F" w:tentative="1">
      <w:start w:val="1"/>
      <w:numFmt w:val="decimal"/>
      <w:lvlText w:val="%7."/>
      <w:lvlJc w:val="left"/>
      <w:pPr>
        <w:tabs>
          <w:tab w:val="num" w:pos="6180"/>
        </w:tabs>
        <w:ind w:left="6180" w:hanging="360"/>
      </w:pPr>
    </w:lvl>
    <w:lvl w:ilvl="7" w:tplc="041A0019" w:tentative="1">
      <w:start w:val="1"/>
      <w:numFmt w:val="lowerLetter"/>
      <w:lvlText w:val="%8."/>
      <w:lvlJc w:val="left"/>
      <w:pPr>
        <w:tabs>
          <w:tab w:val="num" w:pos="6900"/>
        </w:tabs>
        <w:ind w:left="6900" w:hanging="360"/>
      </w:pPr>
    </w:lvl>
    <w:lvl w:ilvl="8" w:tplc="041A001B" w:tentative="1">
      <w:start w:val="1"/>
      <w:numFmt w:val="lowerRoman"/>
      <w:lvlText w:val="%9."/>
      <w:lvlJc w:val="right"/>
      <w:pPr>
        <w:tabs>
          <w:tab w:val="num" w:pos="7620"/>
        </w:tabs>
        <w:ind w:left="7620" w:hanging="180"/>
      </w:pPr>
    </w:lvl>
  </w:abstractNum>
  <w:abstractNum w:abstractNumId="5" w15:restartNumberingAfterBreak="0">
    <w:nsid w:val="53731C8C"/>
    <w:multiLevelType w:val="hybridMultilevel"/>
    <w:tmpl w:val="9D8A2B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867255E"/>
    <w:multiLevelType w:val="hybridMultilevel"/>
    <w:tmpl w:val="00284AA8"/>
    <w:lvl w:ilvl="0" w:tplc="B5E8340C">
      <w:start w:val="1"/>
      <w:numFmt w:val="decimal"/>
      <w:lvlText w:val="%1."/>
      <w:lvlJc w:val="left"/>
      <w:pPr>
        <w:ind w:left="705" w:hanging="360"/>
      </w:pPr>
      <w:rPr>
        <w:rFonts w:hint="default"/>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7" w15:restartNumberingAfterBreak="0">
    <w:nsid w:val="5F8F43DF"/>
    <w:multiLevelType w:val="hybridMultilevel"/>
    <w:tmpl w:val="EF7CEF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D3568A4"/>
    <w:multiLevelType w:val="hybridMultilevel"/>
    <w:tmpl w:val="25825AF2"/>
    <w:lvl w:ilvl="0" w:tplc="9686FD26">
      <w:numFmt w:val="bullet"/>
      <w:lvlText w:val="-"/>
      <w:lvlJc w:val="left"/>
      <w:pPr>
        <w:ind w:left="6030" w:hanging="360"/>
      </w:pPr>
      <w:rPr>
        <w:rFonts w:ascii="Times New Roman" w:eastAsia="Times New Roman" w:hAnsi="Times New Roman" w:cs="Times New Roman" w:hint="default"/>
      </w:rPr>
    </w:lvl>
    <w:lvl w:ilvl="1" w:tplc="041A0003" w:tentative="1">
      <w:start w:val="1"/>
      <w:numFmt w:val="bullet"/>
      <w:lvlText w:val="o"/>
      <w:lvlJc w:val="left"/>
      <w:pPr>
        <w:ind w:left="6750" w:hanging="360"/>
      </w:pPr>
      <w:rPr>
        <w:rFonts w:ascii="Courier New" w:hAnsi="Courier New" w:cs="Courier New" w:hint="default"/>
      </w:rPr>
    </w:lvl>
    <w:lvl w:ilvl="2" w:tplc="041A0005" w:tentative="1">
      <w:start w:val="1"/>
      <w:numFmt w:val="bullet"/>
      <w:lvlText w:val=""/>
      <w:lvlJc w:val="left"/>
      <w:pPr>
        <w:ind w:left="7470" w:hanging="360"/>
      </w:pPr>
      <w:rPr>
        <w:rFonts w:ascii="Wingdings" w:hAnsi="Wingdings" w:hint="default"/>
      </w:rPr>
    </w:lvl>
    <w:lvl w:ilvl="3" w:tplc="041A0001" w:tentative="1">
      <w:start w:val="1"/>
      <w:numFmt w:val="bullet"/>
      <w:lvlText w:val=""/>
      <w:lvlJc w:val="left"/>
      <w:pPr>
        <w:ind w:left="8190" w:hanging="360"/>
      </w:pPr>
      <w:rPr>
        <w:rFonts w:ascii="Symbol" w:hAnsi="Symbol" w:hint="default"/>
      </w:rPr>
    </w:lvl>
    <w:lvl w:ilvl="4" w:tplc="041A0003" w:tentative="1">
      <w:start w:val="1"/>
      <w:numFmt w:val="bullet"/>
      <w:lvlText w:val="o"/>
      <w:lvlJc w:val="left"/>
      <w:pPr>
        <w:ind w:left="8910" w:hanging="360"/>
      </w:pPr>
      <w:rPr>
        <w:rFonts w:ascii="Courier New" w:hAnsi="Courier New" w:cs="Courier New" w:hint="default"/>
      </w:rPr>
    </w:lvl>
    <w:lvl w:ilvl="5" w:tplc="041A0005" w:tentative="1">
      <w:start w:val="1"/>
      <w:numFmt w:val="bullet"/>
      <w:lvlText w:val=""/>
      <w:lvlJc w:val="left"/>
      <w:pPr>
        <w:ind w:left="9630" w:hanging="360"/>
      </w:pPr>
      <w:rPr>
        <w:rFonts w:ascii="Wingdings" w:hAnsi="Wingdings" w:hint="default"/>
      </w:rPr>
    </w:lvl>
    <w:lvl w:ilvl="6" w:tplc="041A0001" w:tentative="1">
      <w:start w:val="1"/>
      <w:numFmt w:val="bullet"/>
      <w:lvlText w:val=""/>
      <w:lvlJc w:val="left"/>
      <w:pPr>
        <w:ind w:left="10350" w:hanging="360"/>
      </w:pPr>
      <w:rPr>
        <w:rFonts w:ascii="Symbol" w:hAnsi="Symbol" w:hint="default"/>
      </w:rPr>
    </w:lvl>
    <w:lvl w:ilvl="7" w:tplc="041A0003" w:tentative="1">
      <w:start w:val="1"/>
      <w:numFmt w:val="bullet"/>
      <w:lvlText w:val="o"/>
      <w:lvlJc w:val="left"/>
      <w:pPr>
        <w:ind w:left="11070" w:hanging="360"/>
      </w:pPr>
      <w:rPr>
        <w:rFonts w:ascii="Courier New" w:hAnsi="Courier New" w:cs="Courier New" w:hint="default"/>
      </w:rPr>
    </w:lvl>
    <w:lvl w:ilvl="8" w:tplc="041A0005" w:tentative="1">
      <w:start w:val="1"/>
      <w:numFmt w:val="bullet"/>
      <w:lvlText w:val=""/>
      <w:lvlJc w:val="left"/>
      <w:pPr>
        <w:ind w:left="11790" w:hanging="360"/>
      </w:pPr>
      <w:rPr>
        <w:rFonts w:ascii="Wingdings" w:hAnsi="Wingdings" w:hint="default"/>
      </w:rPr>
    </w:lvl>
  </w:abstractNum>
  <w:abstractNum w:abstractNumId="9" w15:restartNumberingAfterBreak="0">
    <w:nsid w:val="78576CA0"/>
    <w:multiLevelType w:val="hybridMultilevel"/>
    <w:tmpl w:val="AA4CAC6E"/>
    <w:lvl w:ilvl="0" w:tplc="7FEE66A8">
      <w:start w:val="1"/>
      <w:numFmt w:val="upperLetter"/>
      <w:lvlText w:val="%1)"/>
      <w:lvlJc w:val="left"/>
      <w:pPr>
        <w:ind w:left="1740" w:hanging="360"/>
      </w:pPr>
      <w:rPr>
        <w:rFonts w:hint="default"/>
      </w:rPr>
    </w:lvl>
    <w:lvl w:ilvl="1" w:tplc="041A0019" w:tentative="1">
      <w:start w:val="1"/>
      <w:numFmt w:val="lowerLetter"/>
      <w:lvlText w:val="%2."/>
      <w:lvlJc w:val="left"/>
      <w:pPr>
        <w:ind w:left="2460" w:hanging="360"/>
      </w:pPr>
    </w:lvl>
    <w:lvl w:ilvl="2" w:tplc="041A001B" w:tentative="1">
      <w:start w:val="1"/>
      <w:numFmt w:val="lowerRoman"/>
      <w:lvlText w:val="%3."/>
      <w:lvlJc w:val="right"/>
      <w:pPr>
        <w:ind w:left="3180" w:hanging="180"/>
      </w:pPr>
    </w:lvl>
    <w:lvl w:ilvl="3" w:tplc="041A000F" w:tentative="1">
      <w:start w:val="1"/>
      <w:numFmt w:val="decimal"/>
      <w:lvlText w:val="%4."/>
      <w:lvlJc w:val="left"/>
      <w:pPr>
        <w:ind w:left="3900" w:hanging="360"/>
      </w:pPr>
    </w:lvl>
    <w:lvl w:ilvl="4" w:tplc="041A0019" w:tentative="1">
      <w:start w:val="1"/>
      <w:numFmt w:val="lowerLetter"/>
      <w:lvlText w:val="%5."/>
      <w:lvlJc w:val="left"/>
      <w:pPr>
        <w:ind w:left="4620" w:hanging="360"/>
      </w:pPr>
    </w:lvl>
    <w:lvl w:ilvl="5" w:tplc="041A001B" w:tentative="1">
      <w:start w:val="1"/>
      <w:numFmt w:val="lowerRoman"/>
      <w:lvlText w:val="%6."/>
      <w:lvlJc w:val="right"/>
      <w:pPr>
        <w:ind w:left="5340" w:hanging="180"/>
      </w:pPr>
    </w:lvl>
    <w:lvl w:ilvl="6" w:tplc="041A000F" w:tentative="1">
      <w:start w:val="1"/>
      <w:numFmt w:val="decimal"/>
      <w:lvlText w:val="%7."/>
      <w:lvlJc w:val="left"/>
      <w:pPr>
        <w:ind w:left="6060" w:hanging="360"/>
      </w:pPr>
    </w:lvl>
    <w:lvl w:ilvl="7" w:tplc="041A0019" w:tentative="1">
      <w:start w:val="1"/>
      <w:numFmt w:val="lowerLetter"/>
      <w:lvlText w:val="%8."/>
      <w:lvlJc w:val="left"/>
      <w:pPr>
        <w:ind w:left="6780" w:hanging="360"/>
      </w:pPr>
    </w:lvl>
    <w:lvl w:ilvl="8" w:tplc="041A001B" w:tentative="1">
      <w:start w:val="1"/>
      <w:numFmt w:val="lowerRoman"/>
      <w:lvlText w:val="%9."/>
      <w:lvlJc w:val="right"/>
      <w:pPr>
        <w:ind w:left="7500" w:hanging="180"/>
      </w:pPr>
    </w:lvl>
  </w:abstractNum>
  <w:num w:numId="1" w16cid:durableId="578104178">
    <w:abstractNumId w:val="8"/>
  </w:num>
  <w:num w:numId="2" w16cid:durableId="232009418">
    <w:abstractNumId w:val="2"/>
  </w:num>
  <w:num w:numId="3" w16cid:durableId="16545918">
    <w:abstractNumId w:val="5"/>
  </w:num>
  <w:num w:numId="4" w16cid:durableId="516777638">
    <w:abstractNumId w:val="1"/>
  </w:num>
  <w:num w:numId="5" w16cid:durableId="421880134">
    <w:abstractNumId w:val="0"/>
  </w:num>
  <w:num w:numId="6" w16cid:durableId="1125348470">
    <w:abstractNumId w:val="3"/>
  </w:num>
  <w:num w:numId="7" w16cid:durableId="385447470">
    <w:abstractNumId w:val="7"/>
  </w:num>
  <w:num w:numId="8" w16cid:durableId="1270046568">
    <w:abstractNumId w:val="9"/>
  </w:num>
  <w:num w:numId="9" w16cid:durableId="1255239194">
    <w:abstractNumId w:val="4"/>
  </w:num>
  <w:num w:numId="10" w16cid:durableId="876233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778C4"/>
    <w:rsid w:val="00032738"/>
    <w:rsid w:val="000337B8"/>
    <w:rsid w:val="00040366"/>
    <w:rsid w:val="000A48BA"/>
    <w:rsid w:val="000D006F"/>
    <w:rsid w:val="00153CBB"/>
    <w:rsid w:val="0016203C"/>
    <w:rsid w:val="001778C4"/>
    <w:rsid w:val="001B0AA6"/>
    <w:rsid w:val="001C02B0"/>
    <w:rsid w:val="001C5104"/>
    <w:rsid w:val="001F7BD7"/>
    <w:rsid w:val="00236792"/>
    <w:rsid w:val="00240FFD"/>
    <w:rsid w:val="002672B3"/>
    <w:rsid w:val="002926F0"/>
    <w:rsid w:val="002C4034"/>
    <w:rsid w:val="002D2BD5"/>
    <w:rsid w:val="002D4304"/>
    <w:rsid w:val="002E2F3C"/>
    <w:rsid w:val="003131C7"/>
    <w:rsid w:val="00324310"/>
    <w:rsid w:val="004D008D"/>
    <w:rsid w:val="004D2A54"/>
    <w:rsid w:val="004F1066"/>
    <w:rsid w:val="00506518"/>
    <w:rsid w:val="00581191"/>
    <w:rsid w:val="0061238A"/>
    <w:rsid w:val="006873BB"/>
    <w:rsid w:val="006E0CC7"/>
    <w:rsid w:val="006E747D"/>
    <w:rsid w:val="00712DD5"/>
    <w:rsid w:val="0073025B"/>
    <w:rsid w:val="00734EBE"/>
    <w:rsid w:val="0077430F"/>
    <w:rsid w:val="00777386"/>
    <w:rsid w:val="007D5334"/>
    <w:rsid w:val="00804F6A"/>
    <w:rsid w:val="00810A91"/>
    <w:rsid w:val="00893E57"/>
    <w:rsid w:val="0089674E"/>
    <w:rsid w:val="008F0130"/>
    <w:rsid w:val="00907DFA"/>
    <w:rsid w:val="009224D4"/>
    <w:rsid w:val="0098027A"/>
    <w:rsid w:val="00986B1B"/>
    <w:rsid w:val="00A14109"/>
    <w:rsid w:val="00A3240A"/>
    <w:rsid w:val="00A45B6E"/>
    <w:rsid w:val="00A7168B"/>
    <w:rsid w:val="00A864CC"/>
    <w:rsid w:val="00AA3399"/>
    <w:rsid w:val="00AA7CEF"/>
    <w:rsid w:val="00B3469E"/>
    <w:rsid w:val="00B3743D"/>
    <w:rsid w:val="00B444EA"/>
    <w:rsid w:val="00B91E9B"/>
    <w:rsid w:val="00BA509B"/>
    <w:rsid w:val="00BC209D"/>
    <w:rsid w:val="00C25A26"/>
    <w:rsid w:val="00C808DA"/>
    <w:rsid w:val="00C84ACD"/>
    <w:rsid w:val="00C87AD6"/>
    <w:rsid w:val="00CC3315"/>
    <w:rsid w:val="00CD7A28"/>
    <w:rsid w:val="00CD7C3A"/>
    <w:rsid w:val="00D23157"/>
    <w:rsid w:val="00D42372"/>
    <w:rsid w:val="00DA5004"/>
    <w:rsid w:val="00DC5528"/>
    <w:rsid w:val="00DE177C"/>
    <w:rsid w:val="00E40E4A"/>
    <w:rsid w:val="00E44EE1"/>
    <w:rsid w:val="00EE737C"/>
    <w:rsid w:val="00EF4B59"/>
    <w:rsid w:val="00F55D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741D8"/>
  <w15:docId w15:val="{47C84A7A-F6A2-43F6-A39D-FE5D2482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EF"/>
    <w:rPr>
      <w:sz w:val="24"/>
      <w:szCs w:val="24"/>
    </w:rPr>
  </w:style>
  <w:style w:type="paragraph" w:styleId="Naslov1">
    <w:name w:val="heading 1"/>
    <w:basedOn w:val="Normal"/>
    <w:next w:val="Normal"/>
    <w:link w:val="Naslov1Char"/>
    <w:uiPriority w:val="9"/>
    <w:rsid w:val="00F55DA5"/>
    <w:pPr>
      <w:keepNext/>
      <w:suppressAutoHyphens/>
      <w:autoSpaceDN w:val="0"/>
      <w:spacing w:before="240" w:after="60"/>
      <w:textAlignment w:val="baseline"/>
      <w:outlineLvl w:val="0"/>
    </w:pPr>
    <w:rPr>
      <w:rFonts w:ascii="Cambria" w:hAnsi="Cambria"/>
      <w:b/>
      <w:bCs/>
      <w:kern w:val="3"/>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rsid w:val="00AA7CEF"/>
    <w:rPr>
      <w:color w:val="0000FF"/>
      <w:u w:val="single"/>
    </w:rPr>
  </w:style>
  <w:style w:type="paragraph" w:styleId="Odlomakpopisa">
    <w:name w:val="List Paragraph"/>
    <w:basedOn w:val="Normal"/>
    <w:uiPriority w:val="34"/>
    <w:qFormat/>
    <w:rsid w:val="00A45B6E"/>
    <w:pPr>
      <w:ind w:left="720"/>
      <w:contextualSpacing/>
    </w:pPr>
  </w:style>
  <w:style w:type="paragraph" w:styleId="Tekstbalonia">
    <w:name w:val="Balloon Text"/>
    <w:basedOn w:val="Normal"/>
    <w:link w:val="TekstbaloniaChar"/>
    <w:uiPriority w:val="99"/>
    <w:semiHidden/>
    <w:unhideWhenUsed/>
    <w:rsid w:val="006E0CC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E0CC7"/>
    <w:rPr>
      <w:rFonts w:ascii="Segoe UI" w:hAnsi="Segoe UI" w:cs="Segoe UI"/>
      <w:sz w:val="18"/>
      <w:szCs w:val="18"/>
    </w:rPr>
  </w:style>
  <w:style w:type="character" w:customStyle="1" w:styleId="Naslov1Char">
    <w:name w:val="Naslov 1 Char"/>
    <w:basedOn w:val="Zadanifontodlomka"/>
    <w:link w:val="Naslov1"/>
    <w:uiPriority w:val="9"/>
    <w:rsid w:val="00F55DA5"/>
    <w:rPr>
      <w:rFonts w:ascii="Cambria" w:hAnsi="Cambria"/>
      <w:b/>
      <w:bCs/>
      <w:kern w:val="3"/>
      <w:sz w:val="32"/>
      <w:szCs w:val="32"/>
    </w:rPr>
  </w:style>
  <w:style w:type="paragraph" w:styleId="Bezproreda">
    <w:name w:val="No Spacing"/>
    <w:link w:val="BezproredaChar"/>
    <w:qFormat/>
    <w:rsid w:val="00F55DA5"/>
    <w:rPr>
      <w:rFonts w:asciiTheme="minorHAnsi" w:eastAsiaTheme="minorHAnsi" w:hAnsiTheme="minorHAnsi" w:cstheme="minorBidi"/>
      <w:sz w:val="22"/>
      <w:szCs w:val="22"/>
      <w:lang w:eastAsia="en-US"/>
    </w:rPr>
  </w:style>
  <w:style w:type="character" w:customStyle="1" w:styleId="BezproredaChar">
    <w:name w:val="Bez proreda Char"/>
    <w:link w:val="Bezproreda"/>
    <w:rsid w:val="00F55DA5"/>
    <w:rPr>
      <w:rFonts w:asciiTheme="minorHAnsi" w:eastAsiaTheme="minorHAnsi" w:hAnsiTheme="minorHAnsi" w:cstheme="minorBidi"/>
      <w:sz w:val="22"/>
      <w:szCs w:val="22"/>
      <w:lang w:eastAsia="en-US"/>
    </w:rPr>
  </w:style>
  <w:style w:type="paragraph" w:customStyle="1" w:styleId="Style2">
    <w:name w:val="Style2"/>
    <w:basedOn w:val="Normal"/>
    <w:rsid w:val="00F55DA5"/>
    <w:pPr>
      <w:widowControl w:val="0"/>
      <w:autoSpaceDE w:val="0"/>
      <w:autoSpaceDN w:val="0"/>
      <w:spacing w:line="269" w:lineRule="exact"/>
      <w:jc w:val="both"/>
    </w:pPr>
    <w:rPr>
      <w:rFonts w:ascii="Arial" w:hAnsi="Arial" w:cs="Arial"/>
    </w:rPr>
  </w:style>
  <w:style w:type="paragraph" w:customStyle="1" w:styleId="t-9-8">
    <w:name w:val="t-9-8"/>
    <w:basedOn w:val="Normal"/>
    <w:rsid w:val="002672B3"/>
    <w:pPr>
      <w:spacing w:before="100" w:beforeAutospacing="1" w:after="100" w:afterAutospacing="1"/>
    </w:pPr>
  </w:style>
  <w:style w:type="character" w:customStyle="1" w:styleId="bold">
    <w:name w:val="bold"/>
    <w:basedOn w:val="Zadanifontodlomka"/>
    <w:rsid w:val="002672B3"/>
  </w:style>
  <w:style w:type="paragraph" w:customStyle="1" w:styleId="t-9-8-potpis">
    <w:name w:val="t-9-8-potpis"/>
    <w:basedOn w:val="Normal"/>
    <w:rsid w:val="002672B3"/>
    <w:pPr>
      <w:spacing w:before="100" w:beforeAutospacing="1" w:after="100" w:afterAutospacing="1"/>
    </w:pPr>
  </w:style>
  <w:style w:type="paragraph" w:customStyle="1" w:styleId="tb-na16">
    <w:name w:val="tb-na16"/>
    <w:basedOn w:val="Normal"/>
    <w:rsid w:val="001C5104"/>
    <w:pPr>
      <w:spacing w:before="100" w:beforeAutospacing="1" w:after="100" w:afterAutospacing="1"/>
    </w:pPr>
  </w:style>
  <w:style w:type="paragraph" w:customStyle="1" w:styleId="t-12-9-fett-s">
    <w:name w:val="t-12-9-fett-s"/>
    <w:basedOn w:val="Normal"/>
    <w:rsid w:val="001C5104"/>
    <w:pPr>
      <w:spacing w:before="100" w:beforeAutospacing="1" w:after="100" w:afterAutospacing="1"/>
    </w:pPr>
  </w:style>
  <w:style w:type="character" w:customStyle="1" w:styleId="apple-converted-space">
    <w:name w:val="apple-converted-space"/>
    <w:basedOn w:val="Zadanifontodlomka"/>
    <w:rsid w:val="001C5104"/>
  </w:style>
  <w:style w:type="paragraph" w:customStyle="1" w:styleId="t-10-9-kurz-s">
    <w:name w:val="t-10-9-kurz-s"/>
    <w:basedOn w:val="Normal"/>
    <w:rsid w:val="001C5104"/>
    <w:pPr>
      <w:spacing w:before="100" w:beforeAutospacing="1" w:after="100" w:afterAutospacing="1"/>
    </w:pPr>
  </w:style>
  <w:style w:type="paragraph" w:customStyle="1" w:styleId="Default">
    <w:name w:val="Default"/>
    <w:rsid w:val="00581191"/>
    <w:pPr>
      <w:autoSpaceDE w:val="0"/>
      <w:autoSpaceDN w:val="0"/>
      <w:adjustRightInd w:val="0"/>
    </w:pPr>
    <w:rPr>
      <w:rFonts w:ascii="Arial" w:eastAsiaTheme="minorHAnsi" w:hAnsi="Arial" w:cs="Arial"/>
      <w:color w:val="000000"/>
      <w:sz w:val="24"/>
      <w:szCs w:val="24"/>
      <w:lang w:eastAsia="en-US"/>
    </w:rPr>
  </w:style>
  <w:style w:type="paragraph" w:customStyle="1" w:styleId="box467363">
    <w:name w:val="box_467363"/>
    <w:basedOn w:val="Normal"/>
    <w:rsid w:val="00DE17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0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p\My%20Documents\Mirela\narud&#382;benica%20-%20predlo&#382;ak%20-%20ured%20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narudžbenica - predložak - ured g</Template>
  <TotalTime>59</TotalTime>
  <Pages>3</Pages>
  <Words>1084</Words>
  <Characters>6180</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7250</CharactersWithSpaces>
  <SharedDoc>false</SharedDoc>
  <HLinks>
    <vt:vector size="18" baseType="variant">
      <vt:variant>
        <vt:i4>4915320</vt:i4>
      </vt:variant>
      <vt:variant>
        <vt:i4>0</vt:i4>
      </vt:variant>
      <vt:variant>
        <vt:i4>0</vt:i4>
      </vt:variant>
      <vt:variant>
        <vt:i4>5</vt:i4>
      </vt:variant>
      <vt:variant>
        <vt:lpwstr>mailto:financije@metkovic.hr</vt:lpwstr>
      </vt:variant>
      <vt:variant>
        <vt:lpwstr/>
      </vt:variant>
      <vt:variant>
        <vt:i4>7143519</vt:i4>
      </vt:variant>
      <vt:variant>
        <vt:i4>-1</vt:i4>
      </vt:variant>
      <vt:variant>
        <vt:i4>1026</vt:i4>
      </vt:variant>
      <vt:variant>
        <vt:i4>1</vt:i4>
      </vt:variant>
      <vt:variant>
        <vt:lpwstr>rh_grb</vt:lpwstr>
      </vt:variant>
      <vt:variant>
        <vt:lpwstr/>
      </vt:variant>
      <vt:variant>
        <vt:i4>5177433</vt:i4>
      </vt:variant>
      <vt:variant>
        <vt:i4>-1</vt:i4>
      </vt:variant>
      <vt:variant>
        <vt:i4>1027</vt:i4>
      </vt:variant>
      <vt:variant>
        <vt:i4>1</vt:i4>
      </vt:variant>
      <vt:variant>
        <vt:lpwstr>hr)du-mt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Ivona  Bošković</cp:lastModifiedBy>
  <cp:revision>12</cp:revision>
  <cp:lastPrinted>2019-01-25T10:49:00Z</cp:lastPrinted>
  <dcterms:created xsi:type="dcterms:W3CDTF">2019-06-19T11:56:00Z</dcterms:created>
  <dcterms:modified xsi:type="dcterms:W3CDTF">2023-09-25T08:10:00Z</dcterms:modified>
</cp:coreProperties>
</file>