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0D43F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D43F9" w:rsidRDefault="0088577D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0D43F9" w:rsidRDefault="0088577D">
            <w:pPr>
              <w:spacing w:after="0" w:line="240" w:lineRule="auto"/>
            </w:pPr>
            <w:r>
              <w:t>42223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D43F9" w:rsidRDefault="0088577D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0D43F9" w:rsidRDefault="0088577D">
            <w:pPr>
              <w:spacing w:after="0" w:line="240" w:lineRule="auto"/>
            </w:pPr>
            <w:r>
              <w:t>GRADSKA KNJIŽNICA METKOVIĆ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0D43F9" w:rsidRDefault="0088577D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0D43F9" w:rsidRDefault="0088577D">
            <w:pPr>
              <w:spacing w:after="0" w:line="240" w:lineRule="auto"/>
            </w:pPr>
            <w:r>
              <w:t>21</w:t>
            </w:r>
          </w:p>
        </w:tc>
      </w:tr>
    </w:tbl>
    <w:p w:rsidR="000D43F9" w:rsidRDefault="0088577D">
      <w:r>
        <w:br/>
      </w:r>
    </w:p>
    <w:p w:rsidR="000D43F9" w:rsidRDefault="0088577D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0D43F9" w:rsidRDefault="0088577D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0D43F9" w:rsidRDefault="0088577D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135.700,14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163.354,61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92.385,23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123.079,40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133,2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0D43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43.314,91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40.275,21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93,0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46.678,25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46.342,63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99,3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0D43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46.678,25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46.342,63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99,3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0D43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0D43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3.363,34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6.067,42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180,4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 xml:space="preserve">Manjak prihoda u tekućem razdoblju rezultat je obveze knjiženja plaće za prosinac 2025. koja dospijeva u siječnju 2026. Manjak od nefinancijske imovine u iznosu od 46.342,63 €  odnosi se na nabavu računalne opreme u iznosu od 500,00 €, namještaja u iznosu </w:t>
      </w:r>
      <w:r>
        <w:t>od 3.448,75 €, robotski usisavač u iznosu od 724,99 €, te knjiga u iznosu od 41.668,89, a nisu ostvareni prihodi od prodaje nefinancijske imovine.</w:t>
      </w:r>
    </w:p>
    <w:p w:rsidR="000D43F9" w:rsidRDefault="0088577D">
      <w:r>
        <w:t> </w:t>
      </w:r>
    </w:p>
    <w:p w:rsidR="000D43F9" w:rsidRDefault="0088577D">
      <w:r>
        <w:lastRenderedPageBreak/>
        <w:br/>
      </w:r>
    </w:p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35.950,00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40.092,52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111,5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>Stavka se odnosi na prijenos sredstava iz državnog proračuna za otkup knjižne građe i novi ugovor PUBLIKA. 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>Donacija fizičke osobe.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94.585,05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117.594,98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>Povećanje stavke uslijed donošenja Odluke o usklađenju bruto osnovice proračunskih korisnika Grada Metković, a koja se financira se iz nadležnog proračuna.</w:t>
      </w:r>
    </w:p>
    <w:p w:rsidR="000D43F9" w:rsidRDefault="0088577D">
      <w:r>
        <w:t>Stavka je rasla i uslijed financiranja zahtjeva za materijalnim rashodima.</w:t>
      </w:r>
    </w:p>
    <w:p w:rsidR="000D43F9" w:rsidRDefault="0088577D">
      <w:r>
        <w:t> 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67.051,73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82.551,33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123,1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lastRenderedPageBreak/>
        <w:t>Rast indeksa uslijed rasta koeficijenta i osnovice za obračun plaća donesene Odlukom Grada Metkovića, a prema Odluci Vlade Republike Hrvatske o visini osnovice za obračun plaće u javnim službama u 2025. godini</w:t>
      </w:r>
    </w:p>
    <w:p w:rsidR="000D43F9" w:rsidRDefault="0088577D">
      <w:r>
        <w:t> 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149,7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>Stavka je povećana u odnosu na prošlo razdoblje zbog isplate potpore zaposlenici za bolovanje duže od 90 dana, jubilarne nagrade, a odnosi se i na neoporezive naknade.</w:t>
      </w:r>
    </w:p>
    <w:p w:rsidR="000D43F9" w:rsidRDefault="0088577D">
      <w:r>
        <w:t> 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2.027,50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5.173,00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255,1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 xml:space="preserve">Stavka se odnosi na kreativne i likovne  radionice za djecu i odrasle u iznosu 1.855,00 €, Putopisna predavanja i putopisne foto prezentacije uz promociju knjige u ukupnom iznosu  1.350,00€ , Zelena radionica 350,00€, gostovanje </w:t>
      </w:r>
      <w:proofErr w:type="spellStart"/>
      <w:r>
        <w:t>Hiperaktiva</w:t>
      </w:r>
      <w:proofErr w:type="spellEnd"/>
      <w:r>
        <w:t xml:space="preserve"> 300,00 €, te kr</w:t>
      </w:r>
      <w:r>
        <w:t xml:space="preserve">eativna radionica </w:t>
      </w:r>
      <w:proofErr w:type="spellStart"/>
      <w:r>
        <w:t>makrame</w:t>
      </w:r>
      <w:proofErr w:type="spellEnd"/>
      <w:r>
        <w:t xml:space="preserve"> u iznosu od 250,00 €, Priča o Dalmaciji 300€, gostovanje s radionicom </w:t>
      </w:r>
      <w:proofErr w:type="spellStart"/>
      <w:r>
        <w:t>Slatkopedija</w:t>
      </w:r>
      <w:proofErr w:type="spellEnd"/>
      <w:r>
        <w:t xml:space="preserve"> 200€, te ostala savjetovanja i predavanja u iznosu od 568,00 €.</w:t>
      </w:r>
    </w:p>
    <w:p w:rsidR="000D43F9" w:rsidRDefault="0088577D">
      <w:r>
        <w:t> 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2.624,19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3.296,70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>Nabava zaštitnih folija za knjige.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>Demontaža postojećih lampi i montaža  led panela.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458,49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859,1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>Opremanje radnog prostora nabavom podnih obloga (tepiha) u svrhu adekvatnog održavanja prostorija gradske knjižnice.</w:t>
      </w:r>
    </w:p>
    <w:p w:rsidR="000D43F9" w:rsidRDefault="0088577D">
      <w:r>
        <w:t> 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3.138,39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6.016,10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191,7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 xml:space="preserve">Povećanje stavke usluge tekućeg i investicijskog održavanja uslijed potrebe servisiranja računala i opreme u iznosu od 3.000,00 €, te održavanje </w:t>
      </w:r>
      <w:proofErr w:type="spellStart"/>
      <w:r>
        <w:t>videonadzora</w:t>
      </w:r>
      <w:proofErr w:type="spellEnd"/>
      <w:r>
        <w:t xml:space="preserve"> ustanove i sigurnosne (</w:t>
      </w:r>
      <w:proofErr w:type="spellStart"/>
      <w:r>
        <w:t>panik</w:t>
      </w:r>
      <w:proofErr w:type="spellEnd"/>
      <w:r>
        <w:t>) rasvjete u iznosu od 2.255,51 €.</w:t>
      </w:r>
    </w:p>
    <w:p w:rsidR="000D43F9" w:rsidRDefault="0088577D">
      <w:r>
        <w:t> 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3.037,96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7.121,63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234,4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>Stavka se odnosi na redovno održavanje e-servisa fine, najam fotokopirnog uređaja, održavanje ( hosting ) virtualne šetnje, te grafičke usluge izrade plakata i pozivnica za potrebe knjižnice.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</w:t>
            </w:r>
            <w:r>
              <w:rPr>
                <w:b/>
                <w:sz w:val="18"/>
              </w:rPr>
              <w:t>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43.724,73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47.673,48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 xml:space="preserve">Nabava uredske opreme i namještaja u iznosu od 3.948,75 €, </w:t>
      </w:r>
      <w:proofErr w:type="spellStart"/>
      <w:r>
        <w:t>tablet</w:t>
      </w:r>
      <w:proofErr w:type="spellEnd"/>
      <w:r>
        <w:t xml:space="preserve"> Samsung </w:t>
      </w:r>
      <w:proofErr w:type="spellStart"/>
      <w:r>
        <w:t>galaxy</w:t>
      </w:r>
      <w:proofErr w:type="spellEnd"/>
      <w:r>
        <w:t xml:space="preserve"> 500,00 € i trapezni stol i polica za knjige u iznosu od 3.448,75 €</w:t>
      </w:r>
    </w:p>
    <w:p w:rsidR="000D43F9" w:rsidRDefault="0088577D">
      <w:r>
        <w:t> 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1.581,31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145,8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 xml:space="preserve">Robotski usisavač </w:t>
      </w:r>
      <w:proofErr w:type="spellStart"/>
      <w:r>
        <w:t>Roborock</w:t>
      </w:r>
      <w:proofErr w:type="spellEnd"/>
      <w:r>
        <w:t xml:space="preserve"> Q </w:t>
      </w:r>
      <w:proofErr w:type="spellStart"/>
      <w:r>
        <w:t>revo</w:t>
      </w:r>
      <w:proofErr w:type="spellEnd"/>
      <w:r>
        <w:t xml:space="preserve"> u iznosu od 724,99 €.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472.186,08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513.854,97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>Nabava knjižne građe. Stavka je rasla uslijed većeg prijenosa sredstava iz nadležnog Ministarstva po Ugovoru o financiranju Programa otkupa knjiga i programu Publika.</w:t>
      </w:r>
    </w:p>
    <w:p w:rsidR="000D43F9" w:rsidRDefault="0088577D">
      <w:r>
        <w:t> 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902,49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3.166,12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350,8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>Potraživanja za naknade koje se refundiraju, a odnose se na bolovanje na teret HZZO- a.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0D43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4.919,17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>Stanje obveza na početku izvještajnog razdoblja 4.919,17 € koje se odnosilo na materijalne rashode I rashode za zaposlene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0D43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obveza na kraju izvještajnog razdoblja (šifre </w:t>
            </w:r>
            <w:r>
              <w:rPr>
                <w:sz w:val="18"/>
              </w:rPr>
              <w:t>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7.246,72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>U 2025. godini obveze iznose 7.246,72 € i odnose se na obveze za plaću za prosinac 2025 koja dospijeva u siječnju 2026. u iznosu od 7.128,40 €, te obveze za materijalne rashode koji također dospijevaju u siječnju 2026.,a iznose 118,32 €.</w:t>
      </w:r>
    </w:p>
    <w:p w:rsidR="000D43F9" w:rsidRDefault="000D43F9"/>
    <w:p w:rsidR="000D43F9" w:rsidRDefault="0088577D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0D43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</w:t>
            </w:r>
            <w:r>
              <w:rPr>
                <w:b/>
                <w:sz w:val="18"/>
              </w:rPr>
              <w:t xml:space="preserve">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0D43F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0D43F9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0D43F9" w:rsidRDefault="0088577D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0D43F9" w:rsidRDefault="000D43F9">
      <w:pPr>
        <w:spacing w:after="0"/>
      </w:pPr>
    </w:p>
    <w:p w:rsidR="000D43F9" w:rsidRDefault="0088577D">
      <w:r>
        <w:t>Gradska knjižnica Metković nema dospjelih obveza na 31.12.2025., budući da se iste redovito podmiruju.</w:t>
      </w:r>
    </w:p>
    <w:p w:rsidR="000D43F9" w:rsidRDefault="000D43F9"/>
    <w:sectPr w:rsidR="000D4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F9"/>
    <w:rsid w:val="000D43F9"/>
    <w:rsid w:val="0088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4766A-4F75-4B6A-B85D-5206DCDD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2026-01-30T10:37:00Z</dcterms:created>
  <dcterms:modified xsi:type="dcterms:W3CDTF">2026-01-30T10:37:00Z</dcterms:modified>
</cp:coreProperties>
</file>